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5A70" w14:textId="77777777" w:rsidR="00804AAB" w:rsidRPr="006E3815" w:rsidRDefault="00804AAB" w:rsidP="00804AAB">
      <w:pPr>
        <w:rPr>
          <w:bCs/>
        </w:rPr>
      </w:pPr>
    </w:p>
    <w:p w14:paraId="24F75966" w14:textId="77777777" w:rsidR="00804AAB" w:rsidRDefault="00804AAB" w:rsidP="00804AAB">
      <w:pPr>
        <w:rPr>
          <w:b/>
          <w:bCs/>
        </w:rPr>
      </w:pPr>
    </w:p>
    <w:p w14:paraId="402D684F" w14:textId="77777777" w:rsidR="00804AAB" w:rsidRPr="006E3815" w:rsidRDefault="00E1608A" w:rsidP="00804AAB">
      <w:pPr>
        <w:rPr>
          <w:bCs/>
        </w:rPr>
      </w:pPr>
      <w:r>
        <w:rPr>
          <w:b/>
          <w:bCs/>
        </w:rPr>
        <w:t>INFORMATION OM BADRUMMEN</w:t>
      </w:r>
      <w:r w:rsidR="00804AAB">
        <w:rPr>
          <w:b/>
          <w:bCs/>
        </w:rPr>
        <w:tab/>
      </w:r>
      <w:r w:rsidR="00804AAB">
        <w:rPr>
          <w:b/>
          <w:bCs/>
        </w:rPr>
        <w:tab/>
      </w:r>
      <w:r w:rsidR="00804AAB">
        <w:rPr>
          <w:b/>
          <w:bCs/>
        </w:rPr>
        <w:tab/>
      </w:r>
      <w:r w:rsidR="00804AAB">
        <w:rPr>
          <w:b/>
          <w:bCs/>
        </w:rPr>
        <w:tab/>
      </w:r>
      <w:r w:rsidR="00804AAB">
        <w:rPr>
          <w:b/>
          <w:bCs/>
        </w:rPr>
        <w:tab/>
      </w:r>
    </w:p>
    <w:p w14:paraId="290778C4" w14:textId="77777777" w:rsidR="00E1608A" w:rsidRDefault="00E1608A" w:rsidP="00E1608A">
      <w:pPr>
        <w:rPr>
          <w:b/>
          <w:bCs/>
        </w:rPr>
      </w:pPr>
    </w:p>
    <w:p w14:paraId="1EB0B76B" w14:textId="77777777" w:rsidR="00237C9F" w:rsidRPr="00237C9F" w:rsidRDefault="00237C9F" w:rsidP="00E1608A">
      <w:pPr>
        <w:rPr>
          <w:u w:val="single"/>
        </w:rPr>
      </w:pPr>
      <w:r>
        <w:rPr>
          <w:u w:val="single"/>
        </w:rPr>
        <w:t>Bakgrund</w:t>
      </w:r>
    </w:p>
    <w:p w14:paraId="7C7950E5" w14:textId="77777777" w:rsidR="00E1608A" w:rsidRDefault="00E1608A" w:rsidP="00E1608A">
      <w:r>
        <w:t xml:space="preserve">Våra badrum iordningställdes vid ombyggnaden 1975. </w:t>
      </w:r>
      <w:r w:rsidR="00860AE6">
        <w:t>Badrum från den tiden</w:t>
      </w:r>
      <w:r w:rsidR="00955320">
        <w:t xml:space="preserve"> </w:t>
      </w:r>
      <w:r w:rsidR="005E6EC2">
        <w:t xml:space="preserve">har visat sig </w:t>
      </w:r>
      <w:r w:rsidR="00237C9F">
        <w:t>använd</w:t>
      </w:r>
      <w:r w:rsidR="005E6EC2">
        <w:t>a</w:t>
      </w:r>
      <w:r w:rsidR="00237C9F">
        <w:t xml:space="preserve">s </w:t>
      </w:r>
      <w:r w:rsidR="005A279E" w:rsidRPr="00237C9F">
        <w:t>flitigare</w:t>
      </w:r>
      <w:r w:rsidRPr="00237C9F">
        <w:t xml:space="preserve"> än vad de konstruerade</w:t>
      </w:r>
      <w:r w:rsidR="00955320">
        <w:t>s</w:t>
      </w:r>
      <w:r w:rsidRPr="00237C9F">
        <w:t xml:space="preserve"> fö</w:t>
      </w:r>
      <w:r w:rsidR="008A1628">
        <w:t>r</w:t>
      </w:r>
      <w:r w:rsidR="00812652">
        <w:t>,</w:t>
      </w:r>
      <w:r w:rsidR="00F01253">
        <w:t xml:space="preserve"> vilket har inneburit</w:t>
      </w:r>
      <w:r w:rsidR="00237C9F">
        <w:t xml:space="preserve"> att vatten</w:t>
      </w:r>
      <w:r w:rsidR="008A1628">
        <w:t xml:space="preserve"> </w:t>
      </w:r>
      <w:r w:rsidR="00DF04D3">
        <w:t xml:space="preserve">dels </w:t>
      </w:r>
      <w:r w:rsidR="008A1628">
        <w:t>tenderar att</w:t>
      </w:r>
      <w:r w:rsidR="005A279E" w:rsidRPr="00237C9F">
        <w:t xml:space="preserve"> </w:t>
      </w:r>
      <w:r w:rsidRPr="00237C9F">
        <w:t xml:space="preserve">tränga in genom fogarna mellan kakelplattorna i </w:t>
      </w:r>
      <w:proofErr w:type="gramStart"/>
      <w:r w:rsidRPr="00237C9F">
        <w:t>väggarna</w:t>
      </w:r>
      <w:r w:rsidR="005E6EC2">
        <w:t xml:space="preserve"> och </w:t>
      </w:r>
      <w:r w:rsidR="008A1628">
        <w:t>dels</w:t>
      </w:r>
      <w:proofErr w:type="gramEnd"/>
      <w:r w:rsidR="008A1628">
        <w:t xml:space="preserve"> tränga ner i golvet </w:t>
      </w:r>
      <w:r w:rsidRPr="00237C9F">
        <w:t>vid</w:t>
      </w:r>
      <w:r>
        <w:t xml:space="preserve"> golvbrunnens infästning.</w:t>
      </w:r>
    </w:p>
    <w:p w14:paraId="552156E7" w14:textId="77777777" w:rsidR="00E1608A" w:rsidRDefault="00E1608A" w:rsidP="00E1608A"/>
    <w:p w14:paraId="7B0FC38A" w14:textId="77777777" w:rsidR="00E1608A" w:rsidRDefault="00E1608A" w:rsidP="00E1608A">
      <w:pPr>
        <w:tabs>
          <w:tab w:val="left" w:pos="380"/>
          <w:tab w:val="left" w:pos="3400"/>
          <w:tab w:val="left" w:pos="6540"/>
        </w:tabs>
        <w:ind w:right="18"/>
      </w:pPr>
      <w:r>
        <w:t>Det åligger den enskilde medlemmen att bekosta</w:t>
      </w:r>
      <w:r w:rsidR="008A1628">
        <w:t xml:space="preserve"> en ev. renovering av badrummet. Varje medlem svarar för det</w:t>
      </w:r>
      <w:r>
        <w:t xml:space="preserve"> inre underhållet av respektive lägenhet.</w:t>
      </w:r>
    </w:p>
    <w:p w14:paraId="26CD8D5B" w14:textId="77777777" w:rsidR="00E1608A" w:rsidRDefault="00E1608A" w:rsidP="00E1608A">
      <w:pPr>
        <w:tabs>
          <w:tab w:val="left" w:pos="380"/>
          <w:tab w:val="left" w:pos="3400"/>
          <w:tab w:val="left" w:pos="6540"/>
        </w:tabs>
        <w:ind w:right="18"/>
      </w:pPr>
    </w:p>
    <w:p w14:paraId="36B4983A" w14:textId="77777777" w:rsidR="00237C9F" w:rsidRPr="00237C9F" w:rsidRDefault="00237C9F" w:rsidP="00E1608A">
      <w:pPr>
        <w:tabs>
          <w:tab w:val="left" w:pos="380"/>
          <w:tab w:val="left" w:pos="3400"/>
          <w:tab w:val="left" w:pos="6540"/>
        </w:tabs>
        <w:ind w:right="18"/>
        <w:rPr>
          <w:u w:val="single"/>
        </w:rPr>
      </w:pPr>
      <w:r>
        <w:rPr>
          <w:u w:val="single"/>
        </w:rPr>
        <w:t>Renovering</w:t>
      </w:r>
    </w:p>
    <w:p w14:paraId="4940BD70" w14:textId="77777777" w:rsidR="008A1628" w:rsidRDefault="00E1608A" w:rsidP="00E1608A">
      <w:pPr>
        <w:tabs>
          <w:tab w:val="left" w:pos="380"/>
          <w:tab w:val="left" w:pos="3400"/>
          <w:tab w:val="left" w:pos="6540"/>
        </w:tabs>
        <w:ind w:right="18"/>
      </w:pPr>
      <w:r>
        <w:t xml:space="preserve">Renovering av badrum är en komplicerad och känslig sak och styrelsen ställer därför ett absolut krav, att arbetet skall vara </w:t>
      </w:r>
      <w:r w:rsidR="004A6958">
        <w:t>fackmannamässigt gjort efter vid varje tidpunkt</w:t>
      </w:r>
      <w:r>
        <w:t xml:space="preserve"> </w:t>
      </w:r>
      <w:r w:rsidR="00DB3C53">
        <w:t>gällande standard</w:t>
      </w:r>
      <w:r>
        <w:t xml:space="preserve">, vilket </w:t>
      </w:r>
      <w:proofErr w:type="gramStart"/>
      <w:r>
        <w:t>bl.a</w:t>
      </w:r>
      <w:r w:rsidR="00505EB1">
        <w:t>.</w:t>
      </w:r>
      <w:proofErr w:type="gramEnd"/>
      <w:r w:rsidR="00495C5C">
        <w:t xml:space="preserve"> </w:t>
      </w:r>
      <w:r>
        <w:t>innebär anlita</w:t>
      </w:r>
      <w:r w:rsidR="00505EB1">
        <w:t xml:space="preserve">nde av en godkänd </w:t>
      </w:r>
      <w:r>
        <w:t>entreprenör med behörighet</w:t>
      </w:r>
      <w:r w:rsidR="00873A5D">
        <w:t>sbevis</w:t>
      </w:r>
      <w:r>
        <w:t xml:space="preserve"> från </w:t>
      </w:r>
      <w:proofErr w:type="spellStart"/>
      <w:r>
        <w:t>Byggkeram</w:t>
      </w:r>
      <w:r w:rsidR="00812652">
        <w:t>ikrådet</w:t>
      </w:r>
      <w:proofErr w:type="spellEnd"/>
      <w:r w:rsidR="001B2A33">
        <w:t xml:space="preserve"> samt Säker Vatten</w:t>
      </w:r>
      <w:r w:rsidR="006B6900">
        <w:t>.</w:t>
      </w:r>
    </w:p>
    <w:p w14:paraId="53B05FC2" w14:textId="77777777" w:rsidR="00D253E8" w:rsidRDefault="00D253E8" w:rsidP="00E1608A">
      <w:pPr>
        <w:tabs>
          <w:tab w:val="left" w:pos="380"/>
          <w:tab w:val="left" w:pos="3400"/>
          <w:tab w:val="left" w:pos="6540"/>
        </w:tabs>
        <w:ind w:right="18"/>
      </w:pPr>
    </w:p>
    <w:p w14:paraId="305668CC" w14:textId="77777777" w:rsidR="00C767F9" w:rsidRDefault="00C767F9" w:rsidP="00E1608A">
      <w:pPr>
        <w:tabs>
          <w:tab w:val="left" w:pos="380"/>
          <w:tab w:val="left" w:pos="3400"/>
          <w:tab w:val="left" w:pos="6540"/>
        </w:tabs>
        <w:ind w:right="18"/>
      </w:pPr>
      <w:r>
        <w:t>Det är alltså</w:t>
      </w:r>
      <w:r w:rsidR="00E1608A">
        <w:t xml:space="preserve"> </w:t>
      </w:r>
      <w:r w:rsidR="00E1608A" w:rsidRPr="008A1628">
        <w:rPr>
          <w:b/>
        </w:rPr>
        <w:t xml:space="preserve">inte </w:t>
      </w:r>
      <w:r>
        <w:rPr>
          <w:b/>
        </w:rPr>
        <w:t xml:space="preserve">tillåtet att </w:t>
      </w:r>
      <w:r w:rsidR="00E1608A" w:rsidRPr="008A1628">
        <w:rPr>
          <w:b/>
        </w:rPr>
        <w:t>renovera badrummet själv</w:t>
      </w:r>
      <w:r w:rsidR="00E1608A">
        <w:t xml:space="preserve"> som ”hemmafixare”. Man får inte heller ta bort badkaren o</w:t>
      </w:r>
      <w:r w:rsidR="008A1628">
        <w:t>ch duscha fristående på golvet, eftersom</w:t>
      </w:r>
      <w:r w:rsidR="00E1608A">
        <w:t xml:space="preserve"> den befintliga 70-tals</w:t>
      </w:r>
      <w:r w:rsidR="00EE5EBE">
        <w:t>-</w:t>
      </w:r>
      <w:r w:rsidR="00E1608A">
        <w:t xml:space="preserve">standarden inte tål den intensiva </w:t>
      </w:r>
      <w:proofErr w:type="gramStart"/>
      <w:r w:rsidR="00E1608A">
        <w:t>vattenbegjutning</w:t>
      </w:r>
      <w:r w:rsidR="00C37F08">
        <w:t>,</w:t>
      </w:r>
      <w:r w:rsidR="00E1608A">
        <w:t xml:space="preserve"> som</w:t>
      </w:r>
      <w:proofErr w:type="gramEnd"/>
      <w:r w:rsidR="00E1608A">
        <w:t xml:space="preserve"> ett flitigt duschande ger upphov till. Vid renovering är det dessutom absolut förbjudet att lägga in klinkers direkt ovanpå den gamla vinylmattan. </w:t>
      </w:r>
      <w:proofErr w:type="spellStart"/>
      <w:r w:rsidR="00E1608A">
        <w:t>Kakelfixet</w:t>
      </w:r>
      <w:proofErr w:type="spellEnd"/>
      <w:r w:rsidR="00E1608A">
        <w:t xml:space="preserve"> fräter upp vinylplasten. </w:t>
      </w:r>
      <w:r w:rsidR="008A1628">
        <w:t>V</w:t>
      </w:r>
      <w:r w:rsidR="00E1608A">
        <w:t xml:space="preserve">inylmattan </w:t>
      </w:r>
      <w:r w:rsidR="008A1628">
        <w:t xml:space="preserve">beräknas inte </w:t>
      </w:r>
      <w:r w:rsidR="00E1608A">
        <w:t>hålla mer än 25 år varför det är en rekommendation till alla medlemmar att byta ut den mot ny golvbeläggning</w:t>
      </w:r>
      <w:r w:rsidR="008A1628">
        <w:t>.</w:t>
      </w:r>
      <w:r w:rsidR="00A767A0">
        <w:t xml:space="preserve"> Obs! att golvbrunnen ovillkor</w:t>
      </w:r>
      <w:r>
        <w:t xml:space="preserve">ligen måste bytas ut till en ny vid en </w:t>
      </w:r>
    </w:p>
    <w:p w14:paraId="7DFF3358" w14:textId="77777777" w:rsidR="00E1608A" w:rsidRDefault="00C767F9" w:rsidP="00C767F9">
      <w:pPr>
        <w:tabs>
          <w:tab w:val="left" w:pos="380"/>
          <w:tab w:val="left" w:pos="3400"/>
          <w:tab w:val="left" w:pos="6540"/>
        </w:tabs>
        <w:ind w:right="18"/>
      </w:pPr>
      <w:r>
        <w:t xml:space="preserve">renovering samt att inspektionsluckan i </w:t>
      </w:r>
      <w:r w:rsidR="00123C16">
        <w:t>väggen inte får byggas för</w:t>
      </w:r>
      <w:r>
        <w:t>.</w:t>
      </w:r>
    </w:p>
    <w:p w14:paraId="4261C3FC" w14:textId="77777777" w:rsidR="00C767F9" w:rsidRDefault="00C767F9" w:rsidP="00C767F9">
      <w:pPr>
        <w:tabs>
          <w:tab w:val="left" w:pos="380"/>
          <w:tab w:val="left" w:pos="3400"/>
          <w:tab w:val="left" w:pos="6540"/>
        </w:tabs>
        <w:ind w:right="18"/>
      </w:pPr>
    </w:p>
    <w:p w14:paraId="3BA86EB1" w14:textId="77777777" w:rsidR="00237C9F" w:rsidRDefault="00237C9F" w:rsidP="00E1608A">
      <w:pPr>
        <w:tabs>
          <w:tab w:val="left" w:pos="380"/>
          <w:tab w:val="left" w:pos="3400"/>
          <w:tab w:val="left" w:pos="6540"/>
        </w:tabs>
        <w:ind w:right="18"/>
        <w:rPr>
          <w:u w:val="single"/>
        </w:rPr>
      </w:pPr>
      <w:r>
        <w:rPr>
          <w:u w:val="single"/>
        </w:rPr>
        <w:t>Skadeersättning och försäkring</w:t>
      </w:r>
    </w:p>
    <w:p w14:paraId="47AB5577" w14:textId="16C21E07" w:rsidR="00385B82" w:rsidRDefault="00120AF6" w:rsidP="00E1608A">
      <w:pPr>
        <w:tabs>
          <w:tab w:val="left" w:pos="380"/>
          <w:tab w:val="left" w:pos="3400"/>
          <w:tab w:val="left" w:pos="6540"/>
        </w:tabs>
        <w:ind w:right="18"/>
      </w:pPr>
      <w:r>
        <w:t>Har vattenskadan or</w:t>
      </w:r>
      <w:r w:rsidR="00E1608A">
        <w:t xml:space="preserve">sakats av </w:t>
      </w:r>
      <w:proofErr w:type="gramStart"/>
      <w:r>
        <w:t>t.ex.</w:t>
      </w:r>
      <w:proofErr w:type="gramEnd"/>
      <w:r>
        <w:t xml:space="preserve"> en trasig tvättmaskin </w:t>
      </w:r>
      <w:r w:rsidR="00E1608A">
        <w:t>ut</w:t>
      </w:r>
      <w:r>
        <w:t xml:space="preserve">går normalt ersättning från bostadsrättstillägget, vilket </w:t>
      </w:r>
      <w:r w:rsidR="003A28D4">
        <w:t xml:space="preserve">alltid </w:t>
      </w:r>
      <w:r w:rsidR="00DA5EFD">
        <w:t xml:space="preserve">skall </w:t>
      </w:r>
      <w:r>
        <w:t xml:space="preserve">ingå i </w:t>
      </w:r>
      <w:r w:rsidR="00DA5EFD">
        <w:t>medlemm</w:t>
      </w:r>
      <w:r w:rsidR="003A28D4">
        <w:t xml:space="preserve">ens </w:t>
      </w:r>
      <w:r w:rsidR="00DA5EFD">
        <w:t>egen hemförsäkring.</w:t>
      </w:r>
    </w:p>
    <w:p w14:paraId="12FA95EB" w14:textId="77777777" w:rsidR="00012E74" w:rsidRDefault="00385B82" w:rsidP="00E1608A">
      <w:pPr>
        <w:tabs>
          <w:tab w:val="left" w:pos="380"/>
          <w:tab w:val="left" w:pos="3400"/>
          <w:tab w:val="left" w:pos="6540"/>
        </w:tabs>
        <w:ind w:right="18"/>
      </w:pPr>
      <w:r>
        <w:t>Avdrag på ersättningen sker med hänsyn till skadade föremåls ålder.</w:t>
      </w:r>
    </w:p>
    <w:p w14:paraId="32560A20" w14:textId="77777777" w:rsidR="00120AF6" w:rsidRDefault="00120AF6" w:rsidP="00E1608A">
      <w:pPr>
        <w:tabs>
          <w:tab w:val="left" w:pos="380"/>
          <w:tab w:val="left" w:pos="3400"/>
          <w:tab w:val="left" w:pos="6540"/>
        </w:tabs>
        <w:ind w:right="18"/>
      </w:pPr>
    </w:p>
    <w:p w14:paraId="29CF387B" w14:textId="77777777" w:rsidR="00E1608A" w:rsidRDefault="00812652" w:rsidP="00E1608A">
      <w:pPr>
        <w:tabs>
          <w:tab w:val="left" w:pos="380"/>
          <w:tab w:val="left" w:pos="3400"/>
          <w:tab w:val="left" w:pos="6540"/>
        </w:tabs>
        <w:ind w:right="18"/>
      </w:pPr>
      <w:r>
        <w:t>Det är</w:t>
      </w:r>
      <w:r w:rsidR="00120AF6">
        <w:t xml:space="preserve"> däremot</w:t>
      </w:r>
      <w:r>
        <w:t xml:space="preserve"> inte möjligt</w:t>
      </w:r>
      <w:r w:rsidR="00E1608A">
        <w:t xml:space="preserve"> att få ersättning för opreciserade fukt- och mögelskador i</w:t>
      </w:r>
      <w:r w:rsidR="00120AF6">
        <w:t xml:space="preserve"> badrummen, eftersom en sådan skada anses vara </w:t>
      </w:r>
      <w:r w:rsidR="00E1608A">
        <w:t>resultat av ett normalt slitage av badrummet</w:t>
      </w:r>
      <w:r>
        <w:t>.</w:t>
      </w:r>
      <w:r w:rsidR="00E1608A">
        <w:t xml:space="preserve"> </w:t>
      </w:r>
    </w:p>
    <w:p w14:paraId="0DB68BC5" w14:textId="77777777" w:rsidR="00B30164" w:rsidRDefault="00E1608A" w:rsidP="00B30164">
      <w:pPr>
        <w:tabs>
          <w:tab w:val="left" w:pos="380"/>
          <w:tab w:val="left" w:pos="3400"/>
          <w:tab w:val="left" w:pos="6540"/>
        </w:tabs>
        <w:ind w:right="18"/>
      </w:pPr>
      <w:r>
        <w:t>Ytskikt och tätskikt ingår i det inre unde</w:t>
      </w:r>
      <w:r w:rsidR="001C05BF">
        <w:t>rhållet och medlemmen får i dessa fall</w:t>
      </w:r>
      <w:r>
        <w:t xml:space="preserve"> själv svara för kostnaden för att återställa </w:t>
      </w:r>
      <w:r w:rsidR="001B35D1">
        <w:t xml:space="preserve">badrummets </w:t>
      </w:r>
      <w:r>
        <w:t>standard</w:t>
      </w:r>
      <w:r w:rsidR="00B30164">
        <w:t>.</w:t>
      </w:r>
    </w:p>
    <w:p w14:paraId="2F1CCA2D" w14:textId="77777777" w:rsidR="00B30164" w:rsidRDefault="00B30164" w:rsidP="00B30164">
      <w:pPr>
        <w:tabs>
          <w:tab w:val="left" w:pos="380"/>
          <w:tab w:val="left" w:pos="3400"/>
          <w:tab w:val="left" w:pos="6540"/>
        </w:tabs>
        <w:ind w:right="18"/>
      </w:pPr>
    </w:p>
    <w:p w14:paraId="7E84F05E" w14:textId="77777777" w:rsidR="00B30164" w:rsidRDefault="00B30164" w:rsidP="00B30164">
      <w:pPr>
        <w:tabs>
          <w:tab w:val="left" w:pos="380"/>
          <w:tab w:val="left" w:pos="3400"/>
          <w:tab w:val="left" w:pos="6540"/>
        </w:tabs>
        <w:ind w:right="18"/>
      </w:pPr>
      <w:r>
        <w:t xml:space="preserve">Skador på väggar bakom tätskiktet står föreningens fastighetsförsäkring för såvida skadan inte har uppkommit uppsåtligen eller genom grov oaktsamhet. (Tagit bort tätskiktet </w:t>
      </w:r>
      <w:proofErr w:type="gramStart"/>
      <w:r>
        <w:t>t.ex.</w:t>
      </w:r>
      <w:proofErr w:type="gramEnd"/>
      <w:r>
        <w:t>)</w:t>
      </w:r>
    </w:p>
    <w:p w14:paraId="4D06460D" w14:textId="77777777" w:rsidR="00EE7AAC" w:rsidRDefault="00EE7AAC" w:rsidP="00B30164">
      <w:pPr>
        <w:tabs>
          <w:tab w:val="left" w:pos="380"/>
          <w:tab w:val="left" w:pos="3400"/>
          <w:tab w:val="left" w:pos="6540"/>
        </w:tabs>
        <w:ind w:right="18"/>
      </w:pPr>
    </w:p>
    <w:p w14:paraId="04BA3CF7" w14:textId="77777777" w:rsidR="00E1608A" w:rsidRDefault="00EE7AAC" w:rsidP="00E1608A">
      <w:pPr>
        <w:tabs>
          <w:tab w:val="left" w:pos="380"/>
          <w:tab w:val="left" w:pos="3400"/>
          <w:tab w:val="left" w:pos="6540"/>
        </w:tabs>
        <w:ind w:right="18"/>
      </w:pPr>
      <w:r>
        <w:t>Har en anlitad entreprenör genom felaktig byggmetod orsakat skadan är det dennes ansvarsförsäkring som tas i anspråk.</w:t>
      </w:r>
    </w:p>
    <w:sectPr w:rsidR="00E160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E235" w14:textId="77777777" w:rsidR="00C21FB7" w:rsidRDefault="00C21FB7">
      <w:r>
        <w:separator/>
      </w:r>
    </w:p>
  </w:endnote>
  <w:endnote w:type="continuationSeparator" w:id="0">
    <w:p w14:paraId="2F028F0D" w14:textId="77777777" w:rsidR="00C21FB7" w:rsidRDefault="00C2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AFF1" w14:textId="77777777" w:rsidR="00C21FB7" w:rsidRDefault="00C21FB7">
      <w:r>
        <w:separator/>
      </w:r>
    </w:p>
  </w:footnote>
  <w:footnote w:type="continuationSeparator" w:id="0">
    <w:p w14:paraId="070F641B" w14:textId="77777777" w:rsidR="00C21FB7" w:rsidRDefault="00C2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BC5C" w14:textId="77777777" w:rsidR="008A1628" w:rsidRPr="00087127" w:rsidRDefault="008A1628">
    <w:pPr>
      <w:pStyle w:val="Header"/>
      <w:rPr>
        <w:b/>
        <w:bCs/>
        <w:color w:val="FFCC00"/>
        <w:sz w:val="72"/>
      </w:rPr>
    </w:pPr>
    <w:r w:rsidRPr="00087127">
      <w:rPr>
        <w:b/>
        <w:bCs/>
        <w:color w:val="FFCC00"/>
        <w:sz w:val="72"/>
      </w:rPr>
      <w:t>Brf Skålen</w:t>
    </w:r>
  </w:p>
  <w:p w14:paraId="7996CD04" w14:textId="77777777" w:rsidR="008A1628" w:rsidRDefault="008A1628">
    <w:pPr>
      <w:pStyle w:val="Header"/>
      <w:rPr>
        <w:b/>
        <w:bCs/>
        <w:emboss/>
        <w:color w:val="C0C0C0"/>
        <w:sz w:val="52"/>
      </w:rPr>
    </w:pPr>
  </w:p>
  <w:p w14:paraId="29440A1E" w14:textId="77777777" w:rsidR="008A1628" w:rsidRDefault="008A1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E18"/>
    <w:rsid w:val="00012E74"/>
    <w:rsid w:val="00087127"/>
    <w:rsid w:val="00120AF6"/>
    <w:rsid w:val="00123C16"/>
    <w:rsid w:val="001B2A33"/>
    <w:rsid w:val="001B35D1"/>
    <w:rsid w:val="001C05BF"/>
    <w:rsid w:val="00237C9F"/>
    <w:rsid w:val="0035454A"/>
    <w:rsid w:val="00354AEC"/>
    <w:rsid w:val="00385B82"/>
    <w:rsid w:val="003A28D4"/>
    <w:rsid w:val="003B7C4F"/>
    <w:rsid w:val="00495C5C"/>
    <w:rsid w:val="004A6958"/>
    <w:rsid w:val="004F2C68"/>
    <w:rsid w:val="00505EB1"/>
    <w:rsid w:val="0051772D"/>
    <w:rsid w:val="00565F2B"/>
    <w:rsid w:val="005A279E"/>
    <w:rsid w:val="005E6EC2"/>
    <w:rsid w:val="006B6900"/>
    <w:rsid w:val="006E3815"/>
    <w:rsid w:val="00737857"/>
    <w:rsid w:val="007701E1"/>
    <w:rsid w:val="00804AAB"/>
    <w:rsid w:val="00804DD0"/>
    <w:rsid w:val="00812652"/>
    <w:rsid w:val="00841AAF"/>
    <w:rsid w:val="00860AE6"/>
    <w:rsid w:val="00873A5D"/>
    <w:rsid w:val="008A1628"/>
    <w:rsid w:val="00910287"/>
    <w:rsid w:val="00936F83"/>
    <w:rsid w:val="00955320"/>
    <w:rsid w:val="00A767A0"/>
    <w:rsid w:val="00B30164"/>
    <w:rsid w:val="00C0542A"/>
    <w:rsid w:val="00C21FB7"/>
    <w:rsid w:val="00C37F08"/>
    <w:rsid w:val="00C516E2"/>
    <w:rsid w:val="00C767F9"/>
    <w:rsid w:val="00CD22CB"/>
    <w:rsid w:val="00CE6E18"/>
    <w:rsid w:val="00D253E8"/>
    <w:rsid w:val="00DA5EFD"/>
    <w:rsid w:val="00DB3C53"/>
    <w:rsid w:val="00DF04D3"/>
    <w:rsid w:val="00E1608A"/>
    <w:rsid w:val="00EE5EBE"/>
    <w:rsid w:val="00EE7AAC"/>
    <w:rsid w:val="00F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1589FE"/>
  <w15:chartTrackingRefBased/>
  <w15:docId w15:val="{1A0B75F4-1F14-7746-9774-A4BAD0A2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  <w:tab w:val="right" w:leader="dot" w:pos="9072"/>
      </w:tabs>
      <w:spacing w:before="40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851"/>
        <w:tab w:val="center" w:leader="dot" w:pos="9072"/>
      </w:tabs>
      <w:spacing w:before="400" w:after="120"/>
      <w:outlineLvl w:val="1"/>
    </w:pPr>
    <w:rPr>
      <w:b/>
    </w:rPr>
  </w:style>
  <w:style w:type="paragraph" w:styleId="Heading3">
    <w:name w:val="heading 3"/>
    <w:basedOn w:val="Heading2"/>
    <w:next w:val="Normal"/>
    <w:qFormat/>
    <w:pPr>
      <w:outlineLvl w:val="2"/>
    </w:pPr>
    <w:rPr>
      <w:i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  <w:rPr>
      <w:i w:val="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right" w:leader="dot" w:pos="9072"/>
      </w:tabs>
      <w:spacing w:before="40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left" w:pos="567"/>
        <w:tab w:val="right" w:leader="dot" w:pos="9072"/>
      </w:tabs>
      <w:spacing w:before="1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Nycklar</vt:lpstr>
    </vt:vector>
  </TitlesOfParts>
  <Company>Nordic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Nycklar</dc:title>
  <dc:subject/>
  <dc:creator>Ernst &amp; Young</dc:creator>
  <cp:keywords/>
  <cp:lastModifiedBy>Hans Ollongren</cp:lastModifiedBy>
  <cp:revision>2</cp:revision>
  <cp:lastPrinted>2012-04-02T09:52:00Z</cp:lastPrinted>
  <dcterms:created xsi:type="dcterms:W3CDTF">2021-12-06T14:16:00Z</dcterms:created>
  <dcterms:modified xsi:type="dcterms:W3CDTF">2021-12-06T14:16:00Z</dcterms:modified>
</cp:coreProperties>
</file>